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8F" w:rsidRPr="009E09CD" w:rsidRDefault="00BF738F">
      <w:pPr>
        <w:pStyle w:val="ConsPlusTitlePage"/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9E09CD">
        <w:rPr>
          <w:rFonts w:ascii="Liberation Serif" w:hAnsi="Liberation Serif" w:cs="Liberation Serif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КонсультантПлюс</w:t>
        </w:r>
        <w:proofErr w:type="spellEnd"/>
      </w:hyperlink>
      <w:r w:rsidRPr="009E09CD">
        <w:rPr>
          <w:rFonts w:ascii="Liberation Serif" w:hAnsi="Liberation Serif" w:cs="Liberation Serif"/>
          <w:sz w:val="24"/>
          <w:szCs w:val="24"/>
        </w:rPr>
        <w:br/>
      </w:r>
    </w:p>
    <w:p w:rsidR="00BF738F" w:rsidRPr="009E09CD" w:rsidRDefault="00BF738F">
      <w:pPr>
        <w:pStyle w:val="ConsPlusNormal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Утверждаю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Руководитель Федеральной службы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по надзору в сфере защиты прав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потребителей и благополучия человека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А.Ю.ПОПОВА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14.08.2019 N МР 2.4.0150-19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Руководитель Федеральной службы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по надзору в сфере образования и науки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С.С.КРАВЦОВ</w:t>
      </w:r>
    </w:p>
    <w:p w:rsidR="00BF738F" w:rsidRPr="009E09CD" w:rsidRDefault="00BF738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14.08.2019 N 01-230/13-01</w:t>
      </w: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МЕТОДИЧЕСКИЕ РЕКОМЕНДАЦИИ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ОБ ИСПОЛЬЗОВАНИИ УСТРОЙСТВ МОБИЛЬНОЙ СВЯЗИ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В ОБЩЕОБРАЗОВАТЕЛЬНЫХ ОРГАНИЗАЦИЯХ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Методические рекомендации об использовании устройств мобильной связи в общеобразовательных организациях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1. Разработаны: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Роспотребнадзор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Шевкун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И.Г., Кузьмин С.В., Яновская Г.В.); ФБУН "Новосибирский НИИ гигиены"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Роспотребнадзора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(Новикова И.И., Ерофеев Ю.В.); Управление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Роспотребнадзора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Роспотребнадзора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по Омской области (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Крига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А.С., Бойко М.Н.);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России (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Синюгина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Т.Ю.,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Садовникова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Ж.В.);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Рособрнадзор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(Кравцов С.С., Музаев А.А., Семченко Е.Е., Смирнова П.П.);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ФГБУ Российская академия образования (Зинченко Ю.П., Цветкова Л.А., Малых С.Б.);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ФГБОУ ВО "Новосибирский государственный медицинский университет" Минздрава России (Шпагина Л.А.);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ФГБНУ "НИИ медицины труда имени академика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Измерова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Н.Ф. (Рубцова Н.Б.).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Методические рекомендации</w:t>
      </w:r>
    </w:p>
    <w:p w:rsidR="00BF738F" w:rsidRPr="009E09CD" w:rsidRDefault="00BF738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об использовании устройств мобильной связи</w:t>
      </w:r>
    </w:p>
    <w:p w:rsidR="00BF738F" w:rsidRPr="009E09CD" w:rsidRDefault="00BF738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в общеобразовательных организациях</w:t>
      </w:r>
    </w:p>
    <w:p w:rsidR="00BF738F" w:rsidRPr="009E09CD" w:rsidRDefault="00BF738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(далее - Методические рекомендации)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1. Общие положения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</w:t>
      </w:r>
      <w:hyperlink r:id="rId5" w:history="1"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начального</w:t>
        </w:r>
      </w:hyperlink>
      <w:r w:rsidRPr="009E09CD">
        <w:rPr>
          <w:rFonts w:ascii="Liberation Serif" w:hAnsi="Liberation Serif" w:cs="Liberation Serif"/>
          <w:sz w:val="24"/>
          <w:szCs w:val="24"/>
        </w:rPr>
        <w:t xml:space="preserve"> общего, </w:t>
      </w:r>
      <w:hyperlink r:id="rId6" w:history="1"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основного</w:t>
        </w:r>
      </w:hyperlink>
      <w:r w:rsidRPr="009E09CD">
        <w:rPr>
          <w:rFonts w:ascii="Liberation Serif" w:hAnsi="Liberation Serif" w:cs="Liberation Serif"/>
          <w:sz w:val="24"/>
          <w:szCs w:val="24"/>
        </w:rPr>
        <w:t xml:space="preserve"> общего и </w:t>
      </w:r>
      <w:hyperlink r:id="rId7" w:history="1"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среднего</w:t>
        </w:r>
      </w:hyperlink>
      <w:r w:rsidRPr="009E09CD">
        <w:rPr>
          <w:rFonts w:ascii="Liberation Serif" w:hAnsi="Liberation Serif" w:cs="Liberation Serif"/>
          <w:sz w:val="24"/>
          <w:szCs w:val="24"/>
        </w:rPr>
        <w:t xml:space="preserve"> общего образования (далее - образовательные организации, общеобразовательные программы) с целью профилактики нарушений </w:t>
      </w:r>
      <w:hyperlink r:id="rId8" w:history="1"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здоровья</w:t>
        </w:r>
      </w:hyperlink>
      <w:r w:rsidRPr="009E09CD">
        <w:rPr>
          <w:rFonts w:ascii="Liberation Serif" w:hAnsi="Liberation Serif" w:cs="Liberation Serif"/>
          <w:sz w:val="24"/>
          <w:szCs w:val="24"/>
        </w:rPr>
        <w:t xml:space="preserve"> обучающихся, повышения эффективности образовательного процесса.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2. Международный опыт регламентации требований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к режиму использования устройств мобильной связи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в образовательных организациях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гиперактивностью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 w:rsidRPr="009E09CD">
        <w:rPr>
          <w:rFonts w:ascii="Liberation Serif" w:hAnsi="Liberation Serif" w:cs="Liberation Serif"/>
          <w:sz w:val="24"/>
          <w:szCs w:val="24"/>
          <w:lang w:val="en-US"/>
        </w:rPr>
        <w:t>--------------------------------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  <w:lang w:val="en-US"/>
        </w:rPr>
        <w:t xml:space="preserve">&lt;1&gt; Nathanson A.I., Alade F., Sharp M.L., Rasmussen E.E., Christy K. The relation between television exposure and executive function among preschoolers//Dev. Psychol. 2014. N 50. P. 1497 - 1506; https://www.frontiersin.org/articles/10.3389/fpsyg.2017.01833/full; Pagani L.S., Fitzpatrick C., Barnett T.A., Dubow E. Prospective associations between early childhood television exposure and academic, psychosocial, and physical well-being by middle childhood//Arch. Pediatr. Adolesc. Med. 2010. T. 164. P. 425 - 431; https://jamanetwork.com/journals/jamapediatrics/article-abstract/383160; Moreira, G.A., Pradella-Hallinan M. Sleepiness in Children//Sleep Med.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Clin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>. 2017. N 12. P. 407 - 413; https://www.ncbi.nlm.nih.gov.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гипервозбужденности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перед сном.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аудиомоторной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реакции, нарушений фонематического восприятия, раздражительности, нарушений сна.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Так, во Франции принят закон, запрещающий в школах все виды мобильных телефонов, а также планшеты и смарт-часы &lt;2&gt;.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&lt;2&gt; http://www.legifrance.gouv.fr/affichTexte.do?cidTexte=JORFTEXT000037284333&amp;dateTexte=&amp;categorieLien=id; https: //www.theguardian.com/world/2018/jun/07/french-school-students-to-be-banned-from-using-mobile-phones.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</w:t>
      </w:r>
      <w:r w:rsidRPr="009E09CD">
        <w:rPr>
          <w:rFonts w:ascii="Liberation Serif" w:hAnsi="Liberation Serif" w:cs="Liberation Serif"/>
          <w:sz w:val="24"/>
          <w:szCs w:val="24"/>
        </w:rPr>
        <w:lastRenderedPageBreak/>
        <w:t>запретительного правила не установлено.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&lt;3&gt; https://ru.euronews.com/2018/09/03/ru-school-phones.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&lt;4&gt; https://www.theguardian.com/education/2015/may/16/schools-mobile-phones-academic-results.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&lt;5&gt; https://www.oxfordlearning.com/should-cell-phones-be-allowed-classrooms/.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&lt;6&gt; https://kidspot.co.nz/school-age/back-to-school/should-mobile-phones-be-banned-from-schools/.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Запрещено пользоваться мобильными телефонами с 2012 года в Малайзии и Нигерии, с 2013 года - в Уганде &lt;7&gt;.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--------------------------------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&lt;7&gt; https://blogs.worldbank.org/edutech/banning-and-unbanning-phones-schools.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3. Рекомендации по упорядочению использования устройств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мобильной связи в образовательных организациях</w:t>
      </w:r>
    </w:p>
    <w:p w:rsidR="00BF738F" w:rsidRPr="009E09CD" w:rsidRDefault="00BF738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 w:rsidRPr="009E09CD">
        <w:rPr>
          <w:rFonts w:ascii="Liberation Serif" w:hAnsi="Liberation Serif" w:cs="Liberation Serif"/>
          <w:sz w:val="24"/>
          <w:szCs w:val="24"/>
        </w:rPr>
        <w:t>метапредметные</w:t>
      </w:r>
      <w:proofErr w:type="spellEnd"/>
      <w:r w:rsidRPr="009E09CD">
        <w:rPr>
          <w:rFonts w:ascii="Liberation Serif" w:hAnsi="Liberation Serif" w:cs="Liberation Serif"/>
          <w:sz w:val="24"/>
          <w:szCs w:val="24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lastRenderedPageBreak/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ограничить использование обучающимися устройств мобильной связи во время учебного процесса;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 w:rsidRPr="009E09CD">
          <w:rPr>
            <w:rFonts w:ascii="Liberation Serif" w:hAnsi="Liberation Serif" w:cs="Liberation Serif"/>
            <w:color w:val="0000FF"/>
            <w:sz w:val="24"/>
            <w:szCs w:val="24"/>
          </w:rPr>
          <w:t>(Приложение 2)</w:t>
        </w:r>
      </w:hyperlink>
      <w:r w:rsidRPr="009E09CD">
        <w:rPr>
          <w:rFonts w:ascii="Liberation Serif" w:hAnsi="Liberation Serif" w:cs="Liberation Serif"/>
          <w:sz w:val="24"/>
          <w:szCs w:val="24"/>
        </w:rPr>
        <w:t>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Приложение 1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РЕЗУЛЬТАТЫ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ИССЛЕДОВАНИЙ, ПОКАЗАВШИХ ОТРИЦАТЕЛЬНЫЕ ПОСЛЕДСТВИЯ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ИСПОЛЬЗОВАНИЯ УСТРОЙСТВ МОБИЛЬНОЙ СВЯЗИ НА ЗДОРОВЬЕ ДЕТЕЙ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5102"/>
      </w:tblGrid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Исследователи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Отрицательные эффекты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Burnett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and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Lee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, 2005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Day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J.J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2007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Формирование психологической зависимости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Ophir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2009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Черненков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Ю.В. и др., 2009;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Pagani L.S. et al., 2010;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Nathanson A.I. et al., 2014;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Moreira, G.A et al., 2017;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Григорьев Ю.Г. и др., 2017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Гиперактивность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Panda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N.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2010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Нарушения фонематического восприятия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Sparrow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2011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Запоминают не саму информацию, а место, где эта информация может быть доступна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Lu M. et al., 2012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L. Hardell et al., 2013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Риски доброкачественных и злокачественных опухолей головного мозга, слухового нерва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Ralph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2013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Более высокие уровни ежедневных сбоев внимания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Thornton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2014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Lepp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2014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Положительная корреляция между использованием смартфона и беспокойством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Owens, J.A. et al., 2014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Задержка начала сна, сокращение ночного сна, прерывистый сон, дневная сонливость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Stothartet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2015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Barr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2015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Moisala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et al., 2016;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Lepp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A et al., 2015;</w:t>
            </w:r>
          </w:p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Beland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L.-P., 2015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При наличии раздражителей, отвлекающих внимание во время задачи постоянного внимания, "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многозадачники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" работают хуже и больше активности в правой префронтальной коре, отмечается снижение успеваемости</w:t>
            </w:r>
          </w:p>
        </w:tc>
      </w:tr>
      <w:tr w:rsidR="00BF738F" w:rsidRPr="009E09CD">
        <w:tc>
          <w:tcPr>
            <w:tcW w:w="3968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Cain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et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al</w:t>
            </w:r>
            <w:proofErr w:type="spellEnd"/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., 2016</w:t>
            </w:r>
          </w:p>
        </w:tc>
        <w:tc>
          <w:tcPr>
            <w:tcW w:w="5102" w:type="dxa"/>
          </w:tcPr>
          <w:p w:rsidR="00BF738F" w:rsidRPr="009E09CD" w:rsidRDefault="00BF738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09CD">
              <w:rPr>
                <w:rFonts w:ascii="Liberation Serif" w:hAnsi="Liberation Serif" w:cs="Liberation Serif"/>
                <w:sz w:val="24"/>
                <w:szCs w:val="24"/>
              </w:rP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Приложение 2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1" w:name="P142"/>
      <w:bookmarkEnd w:id="1"/>
      <w:r w:rsidRPr="009E09CD">
        <w:rPr>
          <w:rFonts w:ascii="Liberation Serif" w:hAnsi="Liberation Serif" w:cs="Liberation Serif"/>
          <w:sz w:val="24"/>
          <w:szCs w:val="24"/>
        </w:rPr>
        <w:lastRenderedPageBreak/>
        <w:t>ПАМЯТКА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ДЛЯ ОБУЧАЮЩИХСЯ, РОДИТЕЛЕЙ И ПЕДАГОГИЧЕСКИХ РАБОТНИКОВ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ПО ПРОФИЛАКТИКЕ НЕБЛАГОПРИЯТНЫХ ДЛЯ ЗДОРОВЬЯ И ОБУЧЕНИЯ</w:t>
      </w:r>
    </w:p>
    <w:p w:rsidR="00BF738F" w:rsidRPr="009E09CD" w:rsidRDefault="00BF738F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ДЕТЕЙ ЭФФЕКТОВ ОТ ВОЗДЕЙСТВИЯ УСТРОЙСТВ МОБИЛЬНОЙ СВЯЗИ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2. Максимальное сокращение времени контакта с устройствами мобильной связи.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BF738F" w:rsidRPr="009E09CD" w:rsidRDefault="00BF738F">
      <w:pPr>
        <w:pStyle w:val="ConsPlusNormal"/>
        <w:spacing w:before="20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9E09CD">
        <w:rPr>
          <w:rFonts w:ascii="Liberation Serif" w:hAnsi="Liberation Serif" w:cs="Liberation Serif"/>
          <w:sz w:val="24"/>
          <w:szCs w:val="24"/>
        </w:rPr>
        <w:t>5. Размещение устройств мобильной связи на ночь на расстоянии более 2 метров от головы.</w:t>
      </w: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BF738F" w:rsidRPr="009E09CD" w:rsidRDefault="00BF73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Liberation Serif" w:hAnsi="Liberation Serif" w:cs="Liberation Serif"/>
          <w:sz w:val="24"/>
          <w:szCs w:val="24"/>
        </w:rPr>
      </w:pPr>
    </w:p>
    <w:bookmarkEnd w:id="0"/>
    <w:p w:rsidR="00A753B0" w:rsidRPr="009E09CD" w:rsidRDefault="00A753B0">
      <w:pPr>
        <w:rPr>
          <w:rFonts w:ascii="Liberation Serif" w:hAnsi="Liberation Serif" w:cs="Liberation Serif"/>
          <w:sz w:val="24"/>
          <w:szCs w:val="24"/>
        </w:rPr>
      </w:pPr>
    </w:p>
    <w:sectPr w:rsidR="00A753B0" w:rsidRPr="009E09CD" w:rsidSect="006C0AFE">
      <w:pgSz w:w="11906" w:h="16838"/>
      <w:pgMar w:top="568" w:right="851" w:bottom="284" w:left="12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F"/>
    <w:rsid w:val="009E09CD"/>
    <w:rsid w:val="00A753B0"/>
    <w:rsid w:val="00BF738F"/>
    <w:rsid w:val="00C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F7137-C324-4214-9C24-92E471FA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7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BF7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C4BFA68773DF14F219046D92EC41E671DF15F5459655CFF9B1907BE1586FE4B707A8CA37C663D13FE2B818A390560C0319468A6F1D9591MFe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C4BFA68773DF14F219046D92EC41E670DE14F5409255CFF9B1907BE1586FE4B707A8CA36C46D8366ADB944E7C2450D0419458A70M1e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4BFA68773DF14F219046D92EC41E673D516F1429655CFF9B1907BE1586FE4B707A8CA36C76D8366ADB944E7C2450D0419458A70M1e6J" TargetMode="External"/><Relationship Id="rId5" Type="http://schemas.openxmlformats.org/officeDocument/2006/relationships/hyperlink" Target="consultantplus://offline/ref=95C4BFA68773DF14F219046D92EC41E673D516F1429155CFF9B1907BE1586FE4B707A8CA37C664DF36E2B818A390560C0319468A6F1D9591MFeD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Больных Полина Владимировна</cp:lastModifiedBy>
  <cp:revision>2</cp:revision>
  <dcterms:created xsi:type="dcterms:W3CDTF">2019-10-07T09:30:00Z</dcterms:created>
  <dcterms:modified xsi:type="dcterms:W3CDTF">2019-10-23T09:22:00Z</dcterms:modified>
</cp:coreProperties>
</file>